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42" w:rsidRPr="003751E4" w:rsidRDefault="003751E4" w:rsidP="006B1AB7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751E4">
        <w:rPr>
          <w:rFonts w:ascii="Arial" w:hAnsi="Arial" w:cs="Arial"/>
          <w:b/>
          <w:sz w:val="28"/>
          <w:szCs w:val="28"/>
        </w:rPr>
        <w:t xml:space="preserve">IL SISTEMA DI </w:t>
      </w:r>
      <w:r w:rsidR="009C3FFB">
        <w:rPr>
          <w:rFonts w:ascii="Arial" w:hAnsi="Arial" w:cs="Arial"/>
          <w:b/>
          <w:sz w:val="28"/>
          <w:szCs w:val="28"/>
        </w:rPr>
        <w:t xml:space="preserve">MONITORAGGIO E </w:t>
      </w:r>
      <w:r w:rsidRPr="003751E4">
        <w:rPr>
          <w:rFonts w:ascii="Arial" w:hAnsi="Arial" w:cs="Arial"/>
          <w:b/>
          <w:sz w:val="28"/>
          <w:szCs w:val="28"/>
        </w:rPr>
        <w:t>VALUTAZIONE DEL</w:t>
      </w:r>
      <w:r w:rsidR="009C3FFB">
        <w:rPr>
          <w:rFonts w:ascii="Arial" w:hAnsi="Arial" w:cs="Arial"/>
          <w:b/>
          <w:sz w:val="28"/>
          <w:szCs w:val="28"/>
        </w:rPr>
        <w:t>LA PRODUTTIVITA’ DEL</w:t>
      </w:r>
      <w:r w:rsidRPr="003751E4">
        <w:rPr>
          <w:rFonts w:ascii="Arial" w:hAnsi="Arial" w:cs="Arial"/>
          <w:b/>
          <w:sz w:val="28"/>
          <w:szCs w:val="28"/>
        </w:rPr>
        <w:t xml:space="preserve"> PERSONALE DIPENDENTE </w:t>
      </w:r>
    </w:p>
    <w:p w:rsidR="006B1AB7" w:rsidRDefault="006B1AB7" w:rsidP="006B1AB7">
      <w:pPr>
        <w:rPr>
          <w:rFonts w:ascii="Arial" w:hAnsi="Arial" w:cs="Arial"/>
          <w:b/>
          <w:sz w:val="20"/>
          <w:szCs w:val="20"/>
        </w:rPr>
      </w:pPr>
    </w:p>
    <w:p w:rsidR="006B1AB7" w:rsidRPr="002971D8" w:rsidRDefault="006B1AB7" w:rsidP="00D87F4B">
      <w:pPr>
        <w:pStyle w:val="Paragrafoelenco"/>
        <w:numPr>
          <w:ilvl w:val="0"/>
          <w:numId w:val="1"/>
        </w:numPr>
        <w:spacing w:after="120"/>
        <w:ind w:left="284" w:hanging="284"/>
        <w:rPr>
          <w:rFonts w:ascii="Arial" w:hAnsi="Arial" w:cs="Arial"/>
          <w:b/>
        </w:rPr>
      </w:pPr>
      <w:r w:rsidRPr="002971D8">
        <w:rPr>
          <w:rFonts w:ascii="Arial" w:hAnsi="Arial" w:cs="Arial"/>
          <w:b/>
        </w:rPr>
        <w:t>Presupposti</w:t>
      </w:r>
      <w:r w:rsidR="007C6D41">
        <w:rPr>
          <w:rFonts w:ascii="Arial" w:hAnsi="Arial" w:cs="Arial"/>
          <w:b/>
        </w:rPr>
        <w:t xml:space="preserve"> e criteri generali</w:t>
      </w:r>
    </w:p>
    <w:p w:rsidR="00B50A85" w:rsidRPr="00B50A85" w:rsidRDefault="00B50A85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50A85">
        <w:rPr>
          <w:rFonts w:ascii="Arial" w:hAnsi="Arial" w:cs="Arial"/>
          <w:sz w:val="20"/>
          <w:szCs w:val="20"/>
        </w:rPr>
        <w:t>Nel nuovo progetto di riordino della disciplina decentrata assume rilievo centrale l’i</w:t>
      </w:r>
      <w:r w:rsidR="007C6D41">
        <w:rPr>
          <w:rFonts w:ascii="Arial" w:hAnsi="Arial" w:cs="Arial"/>
          <w:sz w:val="20"/>
          <w:szCs w:val="20"/>
        </w:rPr>
        <w:t xml:space="preserve">ncentivazione retributiva </w:t>
      </w:r>
      <w:r w:rsidRPr="00B50A85">
        <w:rPr>
          <w:rFonts w:ascii="Arial" w:hAnsi="Arial" w:cs="Arial"/>
          <w:sz w:val="20"/>
          <w:szCs w:val="20"/>
        </w:rPr>
        <w:t>della produttività, volt</w:t>
      </w:r>
      <w:r w:rsidR="007C6D41">
        <w:rPr>
          <w:rFonts w:ascii="Arial" w:hAnsi="Arial" w:cs="Arial"/>
          <w:sz w:val="20"/>
          <w:szCs w:val="20"/>
        </w:rPr>
        <w:t>a</w:t>
      </w:r>
      <w:r w:rsidRPr="00B50A85">
        <w:rPr>
          <w:rFonts w:ascii="Arial" w:hAnsi="Arial" w:cs="Arial"/>
          <w:sz w:val="20"/>
          <w:szCs w:val="20"/>
        </w:rPr>
        <w:t xml:space="preserve"> a perseguire – in coerenza con l’obiettivo di conservazione degli andamenti retributivi correnti – politiche di valorizzazione e riconoscimento del merito in relazione alla conservazione e al miglioramento degli </w:t>
      </w:r>
      <w:r w:rsidRPr="007C6D41">
        <w:rPr>
          <w:rFonts w:ascii="Arial" w:hAnsi="Arial" w:cs="Arial"/>
          <w:i/>
          <w:sz w:val="20"/>
          <w:szCs w:val="20"/>
        </w:rPr>
        <w:t>standard</w:t>
      </w:r>
      <w:r w:rsidRPr="00B50A85">
        <w:rPr>
          <w:rFonts w:ascii="Arial" w:hAnsi="Arial" w:cs="Arial"/>
          <w:sz w:val="20"/>
          <w:szCs w:val="20"/>
        </w:rPr>
        <w:t xml:space="preserve"> di erogazione dei servizi resi.</w:t>
      </w:r>
    </w:p>
    <w:p w:rsidR="00B50A85" w:rsidRDefault="007C6D41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Strettame</w:t>
      </w:r>
      <w:r w:rsidR="00B50A85">
        <w:rPr>
          <w:rFonts w:ascii="Arial" w:hAnsi="Arial" w:cs="Arial"/>
          <w:sz w:val="20"/>
          <w:szCs w:val="20"/>
        </w:rPr>
        <w:t xml:space="preserve">nte legato alla produttività è il sistema di valutazione permanente del personale di Roma Capitale. </w:t>
      </w:r>
      <w:r>
        <w:rPr>
          <w:rFonts w:ascii="Arial" w:hAnsi="Arial" w:cs="Arial"/>
          <w:sz w:val="20"/>
          <w:szCs w:val="20"/>
        </w:rPr>
        <w:t>L</w:t>
      </w:r>
      <w:r w:rsidR="00B50A85">
        <w:rPr>
          <w:rFonts w:ascii="Arial" w:hAnsi="Arial" w:cs="Arial"/>
          <w:sz w:val="20"/>
          <w:szCs w:val="20"/>
        </w:rPr>
        <w:t>a valutazione del personale</w:t>
      </w:r>
      <w:r>
        <w:rPr>
          <w:rFonts w:ascii="Arial" w:hAnsi="Arial" w:cs="Arial"/>
          <w:sz w:val="20"/>
          <w:szCs w:val="20"/>
        </w:rPr>
        <w:t>,</w:t>
      </w:r>
      <w:r w:rsidR="00B50A85">
        <w:rPr>
          <w:rFonts w:ascii="Arial" w:hAnsi="Arial" w:cs="Arial"/>
          <w:sz w:val="20"/>
          <w:szCs w:val="20"/>
        </w:rPr>
        <w:t xml:space="preserve"> infatti, oltre ad essere richiesta dalla normativa vigente, è </w:t>
      </w:r>
      <w:r>
        <w:rPr>
          <w:rFonts w:ascii="Arial" w:hAnsi="Arial" w:cs="Arial"/>
          <w:sz w:val="20"/>
          <w:szCs w:val="20"/>
        </w:rPr>
        <w:t>lo</w:t>
      </w:r>
      <w:r w:rsidR="00B50A85">
        <w:rPr>
          <w:rFonts w:ascii="Arial" w:hAnsi="Arial" w:cs="Arial"/>
          <w:sz w:val="20"/>
          <w:szCs w:val="20"/>
        </w:rPr>
        <w:t xml:space="preserve"> strumento che consent</w:t>
      </w:r>
      <w:r>
        <w:rPr>
          <w:rFonts w:ascii="Arial" w:hAnsi="Arial" w:cs="Arial"/>
          <w:sz w:val="20"/>
          <w:szCs w:val="20"/>
        </w:rPr>
        <w:t>e</w:t>
      </w:r>
      <w:r w:rsidR="00B50A85">
        <w:rPr>
          <w:rFonts w:ascii="Arial" w:hAnsi="Arial" w:cs="Arial"/>
          <w:sz w:val="20"/>
          <w:szCs w:val="20"/>
        </w:rPr>
        <w:t xml:space="preserve"> di rilevare</w:t>
      </w:r>
      <w:r w:rsidR="00836C2A">
        <w:rPr>
          <w:rFonts w:ascii="Arial" w:hAnsi="Arial" w:cs="Arial"/>
          <w:sz w:val="20"/>
          <w:szCs w:val="20"/>
        </w:rPr>
        <w:t xml:space="preserve"> e</w:t>
      </w:r>
      <w:r w:rsidR="00B50A85">
        <w:rPr>
          <w:rFonts w:ascii="Arial" w:hAnsi="Arial" w:cs="Arial"/>
          <w:sz w:val="20"/>
          <w:szCs w:val="20"/>
        </w:rPr>
        <w:t xml:space="preserve"> misurare l’apporto del singolo dipendente consentendo di determinare, ove ne ricorrano i presupposti e le necessità, una politica di differenziazione degli importi erogati a titolo premiale.</w:t>
      </w:r>
    </w:p>
    <w:p w:rsidR="00B50A85" w:rsidRDefault="00B50A85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Posto il particolare contesto in cui l’Ente è chiamato ad operare, caratterizzato da risorse finanziarie e umane sempre più esigue, appare necessario incardinare le attività dei dipendenti ed il loro contributo ai risultati organizzativi nel consolidato sistema integrato di programmazione – pianificazione – controllo e valutazione</w:t>
      </w:r>
      <w:r w:rsidR="001A7DA8">
        <w:rPr>
          <w:rFonts w:ascii="Arial" w:hAnsi="Arial" w:cs="Arial"/>
          <w:sz w:val="20"/>
          <w:szCs w:val="20"/>
        </w:rPr>
        <w:t xml:space="preserve">. </w:t>
      </w:r>
    </w:p>
    <w:p w:rsidR="001A7DA8" w:rsidRDefault="001A7DA8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Solo in questo modo è possibile garantire la coerenza tra le prestazioni rese nel corso dell’anno dal personale dipendente e le aree di responsabilità/risultato dei dirigenti di riferimento. Tale aggancio consentirà inoltre di </w:t>
      </w:r>
      <w:r w:rsidR="007C6D41">
        <w:rPr>
          <w:rFonts w:ascii="Arial" w:hAnsi="Arial" w:cs="Arial"/>
          <w:sz w:val="20"/>
          <w:szCs w:val="20"/>
        </w:rPr>
        <w:t>correlare</w:t>
      </w:r>
      <w:r>
        <w:rPr>
          <w:rFonts w:ascii="Arial" w:hAnsi="Arial" w:cs="Arial"/>
          <w:sz w:val="20"/>
          <w:szCs w:val="20"/>
        </w:rPr>
        <w:t xml:space="preserve"> – si vedrà di seguito in che modo  -  la valutazione del dipendente a quella del</w:t>
      </w:r>
      <w:r w:rsidR="007C6D41">
        <w:rPr>
          <w:rFonts w:ascii="Arial" w:hAnsi="Arial" w:cs="Arial"/>
          <w:sz w:val="20"/>
          <w:szCs w:val="20"/>
        </w:rPr>
        <w:t>la struttura di riferimento.</w:t>
      </w:r>
    </w:p>
    <w:p w:rsidR="001A7DA8" w:rsidRPr="00BB5BA7" w:rsidRDefault="001A7DA8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BB5BA7">
        <w:rPr>
          <w:rFonts w:ascii="Arial" w:hAnsi="Arial" w:cs="Arial"/>
          <w:sz w:val="20"/>
          <w:szCs w:val="20"/>
        </w:rPr>
        <w:t xml:space="preserve">I diversi compiti istituzionali delle strutture in cui i dipendenti prestano servizio inducono ad una necessaria/opportuna differenziazione delle prestazioni attese. </w:t>
      </w:r>
      <w:r w:rsidR="007C6D41">
        <w:rPr>
          <w:rFonts w:ascii="Arial" w:hAnsi="Arial" w:cs="Arial"/>
          <w:sz w:val="20"/>
          <w:szCs w:val="20"/>
        </w:rPr>
        <w:t xml:space="preserve">Inoltre, </w:t>
      </w:r>
      <w:r w:rsidRPr="00BB5BA7">
        <w:rPr>
          <w:rFonts w:ascii="Arial" w:hAnsi="Arial" w:cs="Arial"/>
          <w:sz w:val="20"/>
          <w:szCs w:val="20"/>
        </w:rPr>
        <w:t xml:space="preserve">le stesse </w:t>
      </w:r>
      <w:r w:rsidR="00836C2A">
        <w:rPr>
          <w:rFonts w:ascii="Arial" w:hAnsi="Arial" w:cs="Arial"/>
          <w:sz w:val="20"/>
          <w:szCs w:val="20"/>
        </w:rPr>
        <w:t xml:space="preserve">peculiarità delle </w:t>
      </w:r>
      <w:r w:rsidRPr="00BB5BA7">
        <w:rPr>
          <w:rFonts w:ascii="Arial" w:hAnsi="Arial" w:cs="Arial"/>
          <w:sz w:val="20"/>
          <w:szCs w:val="20"/>
        </w:rPr>
        <w:t>famiglie professionali dei dipendenti influenzano in modo decisivo le modalità di lavoro e la valutazione dei risultati conseguiti.</w:t>
      </w:r>
    </w:p>
    <w:p w:rsidR="006B1AB7" w:rsidRDefault="001A7DA8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quest’ottica</w:t>
      </w:r>
      <w:r w:rsidR="00836C2A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il sistema di valutazione è </w:t>
      </w:r>
      <w:r w:rsidR="00C96E80">
        <w:rPr>
          <w:rFonts w:ascii="Arial" w:hAnsi="Arial" w:cs="Arial"/>
          <w:sz w:val="20"/>
          <w:szCs w:val="20"/>
        </w:rPr>
        <w:t xml:space="preserve">definito </w:t>
      </w:r>
      <w:r>
        <w:rPr>
          <w:rFonts w:ascii="Arial" w:hAnsi="Arial" w:cs="Arial"/>
          <w:sz w:val="20"/>
          <w:szCs w:val="20"/>
        </w:rPr>
        <w:t>in modo da garantire, all’in</w:t>
      </w:r>
      <w:r w:rsidR="00C96E80">
        <w:rPr>
          <w:rFonts w:ascii="Arial" w:hAnsi="Arial" w:cs="Arial"/>
          <w:sz w:val="20"/>
          <w:szCs w:val="20"/>
        </w:rPr>
        <w:t>terno di una cornice disciplina</w:t>
      </w:r>
      <w:r w:rsidR="00836C2A">
        <w:rPr>
          <w:rFonts w:ascii="Arial" w:hAnsi="Arial" w:cs="Arial"/>
          <w:sz w:val="20"/>
          <w:szCs w:val="20"/>
        </w:rPr>
        <w:t>toria</w:t>
      </w:r>
      <w:r w:rsidR="00C96E8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e metodologica unitaria</w:t>
      </w:r>
      <w:r w:rsidR="00C96E80">
        <w:rPr>
          <w:rFonts w:ascii="Arial" w:hAnsi="Arial" w:cs="Arial"/>
          <w:sz w:val="20"/>
          <w:szCs w:val="20"/>
        </w:rPr>
        <w:t xml:space="preserve">, il rispetto delle </w:t>
      </w:r>
      <w:r w:rsidR="00836C2A">
        <w:rPr>
          <w:rFonts w:ascii="Arial" w:hAnsi="Arial" w:cs="Arial"/>
          <w:sz w:val="20"/>
          <w:szCs w:val="20"/>
        </w:rPr>
        <w:t xml:space="preserve">specificità </w:t>
      </w:r>
      <w:r w:rsidR="00C96E80">
        <w:rPr>
          <w:rFonts w:ascii="Arial" w:hAnsi="Arial" w:cs="Arial"/>
          <w:sz w:val="20"/>
          <w:szCs w:val="20"/>
        </w:rPr>
        <w:t>dei fini istituzionali delle strutture</w:t>
      </w:r>
      <w:r w:rsidR="00836C2A">
        <w:rPr>
          <w:rFonts w:ascii="Arial" w:hAnsi="Arial" w:cs="Arial"/>
          <w:sz w:val="20"/>
          <w:szCs w:val="20"/>
        </w:rPr>
        <w:t>,</w:t>
      </w:r>
      <w:r w:rsidR="00C96E80">
        <w:rPr>
          <w:rFonts w:ascii="Arial" w:hAnsi="Arial" w:cs="Arial"/>
          <w:sz w:val="20"/>
          <w:szCs w:val="20"/>
        </w:rPr>
        <w:t xml:space="preserve"> nonché dei ruoli e </w:t>
      </w:r>
      <w:r w:rsidR="007C6D41">
        <w:rPr>
          <w:rFonts w:ascii="Arial" w:hAnsi="Arial" w:cs="Arial"/>
          <w:sz w:val="20"/>
          <w:szCs w:val="20"/>
        </w:rPr>
        <w:t xml:space="preserve">delle aree di attività cui i </w:t>
      </w:r>
      <w:r w:rsidR="00C96E80">
        <w:rPr>
          <w:rFonts w:ascii="Arial" w:hAnsi="Arial" w:cs="Arial"/>
          <w:sz w:val="20"/>
          <w:szCs w:val="20"/>
        </w:rPr>
        <w:t>dipendenti</w:t>
      </w:r>
      <w:r w:rsidR="007C6D41">
        <w:rPr>
          <w:rFonts w:ascii="Arial" w:hAnsi="Arial" w:cs="Arial"/>
          <w:sz w:val="20"/>
          <w:szCs w:val="20"/>
        </w:rPr>
        <w:t xml:space="preserve"> sono </w:t>
      </w:r>
      <w:r w:rsidR="00836C2A">
        <w:rPr>
          <w:rFonts w:ascii="Arial" w:hAnsi="Arial" w:cs="Arial"/>
          <w:sz w:val="20"/>
          <w:szCs w:val="20"/>
        </w:rPr>
        <w:t>assegna</w:t>
      </w:r>
      <w:r w:rsidR="007C6D41">
        <w:rPr>
          <w:rFonts w:ascii="Arial" w:hAnsi="Arial" w:cs="Arial"/>
          <w:sz w:val="20"/>
          <w:szCs w:val="20"/>
        </w:rPr>
        <w:t>ti</w:t>
      </w:r>
      <w:r w:rsidR="00C96E80">
        <w:rPr>
          <w:rFonts w:ascii="Arial" w:hAnsi="Arial" w:cs="Arial"/>
          <w:sz w:val="20"/>
          <w:szCs w:val="20"/>
        </w:rPr>
        <w:t xml:space="preserve">. </w:t>
      </w:r>
    </w:p>
    <w:p w:rsidR="00C96E80" w:rsidRDefault="00C96E80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Nelle pagine seguenti v</w:t>
      </w:r>
      <w:r w:rsidR="00836C2A">
        <w:rPr>
          <w:rFonts w:ascii="Arial" w:hAnsi="Arial" w:cs="Arial"/>
          <w:sz w:val="20"/>
          <w:szCs w:val="20"/>
        </w:rPr>
        <w:t>iene</w:t>
      </w:r>
      <w:r>
        <w:rPr>
          <w:rFonts w:ascii="Arial" w:hAnsi="Arial" w:cs="Arial"/>
          <w:sz w:val="20"/>
          <w:szCs w:val="20"/>
        </w:rPr>
        <w:t xml:space="preserve"> illustrato come, nell’ambito di regole e metodologie comuni, l’applicazione del </w:t>
      </w:r>
      <w:r w:rsidR="007C6D41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istema </w:t>
      </w:r>
      <w:r w:rsidR="00836C2A">
        <w:rPr>
          <w:rFonts w:ascii="Arial" w:hAnsi="Arial" w:cs="Arial"/>
          <w:sz w:val="20"/>
          <w:szCs w:val="20"/>
        </w:rPr>
        <w:t xml:space="preserve">si rende </w:t>
      </w:r>
      <w:r>
        <w:rPr>
          <w:rFonts w:ascii="Arial" w:hAnsi="Arial" w:cs="Arial"/>
          <w:sz w:val="20"/>
          <w:szCs w:val="20"/>
        </w:rPr>
        <w:t>flessibil</w:t>
      </w:r>
      <w:r w:rsidR="00836C2A">
        <w:rPr>
          <w:rFonts w:ascii="Arial" w:hAnsi="Arial" w:cs="Arial"/>
          <w:sz w:val="20"/>
          <w:szCs w:val="20"/>
        </w:rPr>
        <w:t>mente adeguabile</w:t>
      </w:r>
      <w:r>
        <w:rPr>
          <w:rFonts w:ascii="Arial" w:hAnsi="Arial" w:cs="Arial"/>
          <w:sz w:val="20"/>
          <w:szCs w:val="20"/>
        </w:rPr>
        <w:t xml:space="preserve"> alle peculiarità del settore </w:t>
      </w:r>
      <w:r w:rsidR="00836C2A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ducativo-</w:t>
      </w:r>
      <w:r w:rsidR="00836C2A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colastico e del settore della Polizia Locale.</w:t>
      </w:r>
    </w:p>
    <w:p w:rsidR="00297BDC" w:rsidRDefault="00297BDC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nuovo progetto di piattaforma decentrata prevede </w:t>
      </w:r>
      <w:r w:rsidR="00836C2A">
        <w:rPr>
          <w:rFonts w:ascii="Arial" w:hAnsi="Arial" w:cs="Arial"/>
          <w:sz w:val="20"/>
          <w:szCs w:val="20"/>
        </w:rPr>
        <w:t xml:space="preserve">una rinnovata strutturazione </w:t>
      </w:r>
      <w:r w:rsidR="007B03B5">
        <w:rPr>
          <w:rFonts w:ascii="Arial" w:hAnsi="Arial" w:cs="Arial"/>
          <w:sz w:val="20"/>
          <w:szCs w:val="20"/>
        </w:rPr>
        <w:t>de</w:t>
      </w:r>
      <w:r w:rsidR="008C7222">
        <w:rPr>
          <w:rFonts w:ascii="Arial" w:hAnsi="Arial" w:cs="Arial"/>
          <w:sz w:val="20"/>
          <w:szCs w:val="20"/>
        </w:rPr>
        <w:t>lle voci retributive accessorie, nel cui ambito gli incentivi e i premi di</w:t>
      </w:r>
      <w:r>
        <w:rPr>
          <w:rFonts w:ascii="Arial" w:hAnsi="Arial" w:cs="Arial"/>
          <w:sz w:val="20"/>
          <w:szCs w:val="20"/>
        </w:rPr>
        <w:t xml:space="preserve"> produttività</w:t>
      </w:r>
      <w:r w:rsidR="008C7222">
        <w:rPr>
          <w:rFonts w:ascii="Arial" w:hAnsi="Arial" w:cs="Arial"/>
          <w:sz w:val="20"/>
          <w:szCs w:val="20"/>
        </w:rPr>
        <w:t xml:space="preserve"> rappresentano leva prioritaria per il riconoscimento dell’apporto di gruppo e individuale costantemente assicurato, dal personale capitolino, secondo le funzioni e i ruoli rivestiti</w:t>
      </w:r>
      <w:r>
        <w:rPr>
          <w:rFonts w:ascii="Arial" w:hAnsi="Arial" w:cs="Arial"/>
          <w:sz w:val="20"/>
          <w:szCs w:val="20"/>
        </w:rPr>
        <w:t>.</w:t>
      </w:r>
    </w:p>
    <w:p w:rsidR="00B12E31" w:rsidRDefault="00B12E31" w:rsidP="00BB5BA7">
      <w:pPr>
        <w:jc w:val="both"/>
        <w:rPr>
          <w:rFonts w:ascii="Arial" w:hAnsi="Arial" w:cs="Arial"/>
          <w:sz w:val="20"/>
          <w:szCs w:val="20"/>
        </w:rPr>
      </w:pPr>
    </w:p>
    <w:p w:rsidR="00B12E31" w:rsidRDefault="00B12E31" w:rsidP="00D87F4B">
      <w:pPr>
        <w:pStyle w:val="Paragrafoelenco"/>
        <w:numPr>
          <w:ilvl w:val="0"/>
          <w:numId w:val="1"/>
        </w:numPr>
        <w:spacing w:after="120"/>
        <w:ind w:left="284" w:hanging="284"/>
        <w:rPr>
          <w:rFonts w:ascii="Arial" w:hAnsi="Arial" w:cs="Arial"/>
          <w:b/>
        </w:rPr>
      </w:pPr>
      <w:r w:rsidRPr="00B12E31">
        <w:rPr>
          <w:rFonts w:ascii="Arial" w:hAnsi="Arial" w:cs="Arial"/>
          <w:b/>
        </w:rPr>
        <w:t>La Produttività: quantificazione e modalità di erogazione.</w:t>
      </w:r>
    </w:p>
    <w:p w:rsidR="00D417A7" w:rsidRDefault="00D417A7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417A7">
        <w:rPr>
          <w:rFonts w:ascii="Arial" w:hAnsi="Arial" w:cs="Arial"/>
          <w:sz w:val="20"/>
          <w:szCs w:val="20"/>
        </w:rPr>
        <w:t xml:space="preserve">Al netto delle voci indennitarie correlate all’assunzione di specifiche funzioni e responsabilità, è prevista l’erogazione di due quote di produttività, con differenziati presupposti e modalità di erogazione:  </w:t>
      </w:r>
    </w:p>
    <w:p w:rsidR="00D417A7" w:rsidRPr="00D417A7" w:rsidRDefault="00D417A7" w:rsidP="00D417A7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25B5D889" wp14:editId="6CA74156">
            <wp:extent cx="5336275" cy="1344305"/>
            <wp:effectExtent l="0" t="0" r="0" b="825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1343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17A7" w:rsidRPr="00D417A7" w:rsidRDefault="00D417A7" w:rsidP="00D87F4B">
      <w:pPr>
        <w:pStyle w:val="Paragrafoelenco"/>
        <w:numPr>
          <w:ilvl w:val="0"/>
          <w:numId w:val="17"/>
        </w:numPr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417A7">
        <w:rPr>
          <w:rFonts w:ascii="Arial" w:hAnsi="Arial" w:cs="Arial"/>
          <w:sz w:val="20"/>
          <w:szCs w:val="20"/>
        </w:rPr>
        <w:t xml:space="preserve">La quota A è </w:t>
      </w:r>
      <w:r>
        <w:rPr>
          <w:rFonts w:ascii="Arial" w:hAnsi="Arial" w:cs="Arial"/>
          <w:sz w:val="20"/>
          <w:szCs w:val="20"/>
        </w:rPr>
        <w:t>riconosciuta a seguito della r</w:t>
      </w:r>
      <w:r w:rsidRPr="00D417A7">
        <w:rPr>
          <w:rFonts w:ascii="Arial" w:hAnsi="Arial" w:cs="Arial"/>
          <w:sz w:val="20"/>
          <w:szCs w:val="20"/>
        </w:rPr>
        <w:t xml:space="preserve">ilevazione infrannuale delle prestazioni quali-quantitative rese in correlazione alla effettiva presenza in servizio. </w:t>
      </w:r>
    </w:p>
    <w:p w:rsidR="00D417A7" w:rsidRPr="00D417A7" w:rsidRDefault="00D417A7" w:rsidP="00D87F4B">
      <w:pPr>
        <w:pStyle w:val="Paragrafoelenco"/>
        <w:numPr>
          <w:ilvl w:val="0"/>
          <w:numId w:val="17"/>
        </w:numPr>
        <w:spacing w:after="120"/>
        <w:ind w:left="567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D417A7">
        <w:rPr>
          <w:rFonts w:ascii="Arial" w:hAnsi="Arial" w:cs="Arial"/>
          <w:sz w:val="20"/>
          <w:szCs w:val="20"/>
        </w:rPr>
        <w:t xml:space="preserve">La quota B è </w:t>
      </w:r>
      <w:r>
        <w:rPr>
          <w:rFonts w:ascii="Arial" w:hAnsi="Arial" w:cs="Arial"/>
          <w:sz w:val="20"/>
          <w:szCs w:val="20"/>
        </w:rPr>
        <w:t>erogata a consuntivo in relazion</w:t>
      </w:r>
      <w:r w:rsidRPr="00D417A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al monitoraggio dell’apporto fornito al raggiungimento dei</w:t>
      </w:r>
      <w:r w:rsidRPr="00D417A7">
        <w:rPr>
          <w:rFonts w:ascii="Arial" w:hAnsi="Arial" w:cs="Arial"/>
          <w:sz w:val="20"/>
          <w:szCs w:val="20"/>
        </w:rPr>
        <w:t xml:space="preserve"> risultati dell’ambito organizzativo di appartenenza in termini di progetti (di ente e di struttura) e di matrice servizi/indicatori </w:t>
      </w:r>
    </w:p>
    <w:p w:rsidR="00B12E31" w:rsidRDefault="00B12E31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Pr="00E64757">
        <w:rPr>
          <w:rFonts w:ascii="Arial" w:hAnsi="Arial" w:cs="Arial"/>
          <w:sz w:val="20"/>
          <w:szCs w:val="20"/>
        </w:rPr>
        <w:t xml:space="preserve"> questi due distinti momenti valutativi corrispondono altrettanti processi di erogazione del salario accessorio</w:t>
      </w:r>
      <w:r>
        <w:rPr>
          <w:rFonts w:ascii="Arial" w:hAnsi="Arial" w:cs="Arial"/>
          <w:sz w:val="20"/>
          <w:szCs w:val="20"/>
        </w:rPr>
        <w:t xml:space="preserve"> (figura 3).</w:t>
      </w:r>
    </w:p>
    <w:p w:rsidR="00B12E31" w:rsidRDefault="00B12E31" w:rsidP="00B12E31">
      <w:pPr>
        <w:spacing w:before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Fig. </w:t>
      </w:r>
      <w:r w:rsidR="00D417A7">
        <w:rPr>
          <w:rFonts w:ascii="Arial" w:hAnsi="Arial" w:cs="Arial"/>
          <w:b/>
          <w:sz w:val="16"/>
          <w:szCs w:val="16"/>
        </w:rPr>
        <w:t>1</w:t>
      </w:r>
      <w:r w:rsidRPr="00555FC3">
        <w:rPr>
          <w:rFonts w:ascii="Arial" w:hAnsi="Arial" w:cs="Arial"/>
          <w:b/>
          <w:sz w:val="16"/>
          <w:szCs w:val="16"/>
        </w:rPr>
        <w:t xml:space="preserve">) </w:t>
      </w:r>
      <w:r>
        <w:rPr>
          <w:rFonts w:ascii="Arial" w:hAnsi="Arial" w:cs="Arial"/>
          <w:b/>
          <w:sz w:val="16"/>
          <w:szCs w:val="16"/>
        </w:rPr>
        <w:t xml:space="preserve"> L</w:t>
      </w:r>
      <w:r w:rsidRPr="00555FC3">
        <w:rPr>
          <w:rFonts w:ascii="Arial" w:hAnsi="Arial" w:cs="Arial"/>
          <w:b/>
          <w:sz w:val="16"/>
          <w:szCs w:val="16"/>
        </w:rPr>
        <w:t xml:space="preserve">a valutazione del personale </w:t>
      </w:r>
      <w:r>
        <w:rPr>
          <w:rFonts w:ascii="Arial" w:hAnsi="Arial" w:cs="Arial"/>
          <w:b/>
          <w:sz w:val="16"/>
          <w:szCs w:val="16"/>
        </w:rPr>
        <w:t>e l’erogazione delle quote di salario accessorio.</w:t>
      </w:r>
    </w:p>
    <w:p w:rsidR="00B12E31" w:rsidRPr="00E64757" w:rsidRDefault="00B12E31" w:rsidP="00B12E31">
      <w:pPr>
        <w:tabs>
          <w:tab w:val="left" w:pos="3675"/>
        </w:tabs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6642B80" wp14:editId="1BE59AD4">
            <wp:extent cx="5561461" cy="2661313"/>
            <wp:effectExtent l="0" t="0" r="1270" b="571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8081" cy="2664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843" w:rsidRPr="002971D8" w:rsidRDefault="00C22843" w:rsidP="00D87F4B">
      <w:pPr>
        <w:pStyle w:val="Paragrafoelenco"/>
        <w:numPr>
          <w:ilvl w:val="0"/>
          <w:numId w:val="1"/>
        </w:numPr>
        <w:spacing w:after="120"/>
        <w:ind w:left="284" w:hanging="284"/>
        <w:rPr>
          <w:rFonts w:ascii="Arial" w:hAnsi="Arial" w:cs="Arial"/>
          <w:b/>
        </w:rPr>
      </w:pPr>
      <w:r w:rsidRPr="002971D8">
        <w:rPr>
          <w:rFonts w:ascii="Arial" w:hAnsi="Arial" w:cs="Arial"/>
          <w:b/>
        </w:rPr>
        <w:t>Le caratteristiche del sistema di valutazione permanente del personale.</w:t>
      </w:r>
    </w:p>
    <w:p w:rsidR="002971D8" w:rsidRDefault="00C22843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sistema di valutazione del personale di Roma Capitale rilev</w:t>
      </w:r>
      <w:r w:rsidR="002971D8">
        <w:rPr>
          <w:rFonts w:ascii="Arial" w:hAnsi="Arial" w:cs="Arial"/>
          <w:sz w:val="20"/>
          <w:szCs w:val="20"/>
        </w:rPr>
        <w:t>a e monitora i seguenti ambiti:</w:t>
      </w:r>
    </w:p>
    <w:p w:rsidR="00C22843" w:rsidRDefault="00C22843" w:rsidP="00D87F4B">
      <w:pPr>
        <w:pStyle w:val="Paragrafoelenco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971D8">
        <w:rPr>
          <w:rFonts w:ascii="Arial" w:hAnsi="Arial" w:cs="Arial"/>
          <w:sz w:val="20"/>
          <w:szCs w:val="20"/>
        </w:rPr>
        <w:t>Le prestazioni rese dal dipendente e la presenza in servizio nel corso dell’anno;</w:t>
      </w:r>
    </w:p>
    <w:p w:rsidR="00C22843" w:rsidRDefault="00C22843" w:rsidP="00D87F4B">
      <w:pPr>
        <w:pStyle w:val="Paragrafoelenco"/>
        <w:numPr>
          <w:ilvl w:val="0"/>
          <w:numId w:val="4"/>
        </w:numPr>
        <w:spacing w:after="12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contributo del dipendente ai risultati organizzativi rilevati a consuntivo.</w:t>
      </w:r>
    </w:p>
    <w:p w:rsidR="00C22843" w:rsidRDefault="00C22843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È previsto che sia il primo che il secondo ambito di rilevazio</w:t>
      </w:r>
      <w:r w:rsidR="002971D8">
        <w:rPr>
          <w:rFonts w:ascii="Arial" w:hAnsi="Arial" w:cs="Arial"/>
          <w:sz w:val="20"/>
          <w:szCs w:val="20"/>
        </w:rPr>
        <w:t>ne siano adeguatamente delineati</w:t>
      </w:r>
      <w:r w:rsidR="00D417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 modo da far emergere le differenziazioni di ruolo, struttura, area di appartenenza.</w:t>
      </w:r>
    </w:p>
    <w:p w:rsidR="008F568A" w:rsidRDefault="008F568A" w:rsidP="00D87F4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2971D8" w:rsidRPr="00D87F4B" w:rsidRDefault="002971D8" w:rsidP="00D87F4B">
      <w:pPr>
        <w:pStyle w:val="Paragrafoelenco"/>
        <w:numPr>
          <w:ilvl w:val="0"/>
          <w:numId w:val="18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D87F4B">
        <w:rPr>
          <w:rFonts w:ascii="Arial" w:hAnsi="Arial" w:cs="Arial"/>
          <w:b/>
          <w:sz w:val="20"/>
          <w:szCs w:val="20"/>
        </w:rPr>
        <w:t>Le prestazioni rese e la presenza in servizio.</w:t>
      </w:r>
    </w:p>
    <w:p w:rsidR="00F5518D" w:rsidRDefault="008A4F3A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prestazioni rese</w:t>
      </w:r>
      <w:r w:rsidR="00F5518D">
        <w:rPr>
          <w:rFonts w:ascii="Arial" w:hAnsi="Arial" w:cs="Arial"/>
          <w:sz w:val="20"/>
          <w:szCs w:val="20"/>
        </w:rPr>
        <w:t xml:space="preserve">, differenziate in relazione al ruolo e alle funzioni ricoperte, </w:t>
      </w:r>
      <w:r w:rsidR="002971D8">
        <w:rPr>
          <w:rFonts w:ascii="Arial" w:hAnsi="Arial" w:cs="Arial"/>
          <w:sz w:val="20"/>
          <w:szCs w:val="20"/>
        </w:rPr>
        <w:t>saranno monitor</w:t>
      </w:r>
      <w:r>
        <w:rPr>
          <w:rFonts w:ascii="Arial" w:hAnsi="Arial" w:cs="Arial"/>
          <w:sz w:val="20"/>
          <w:szCs w:val="20"/>
        </w:rPr>
        <w:t>ate con periodicità infrannuale</w:t>
      </w:r>
      <w:r w:rsidR="00F5518D">
        <w:rPr>
          <w:rFonts w:ascii="Arial" w:hAnsi="Arial" w:cs="Arial"/>
          <w:sz w:val="20"/>
          <w:szCs w:val="20"/>
        </w:rPr>
        <w:t xml:space="preserve">, </w:t>
      </w:r>
      <w:r w:rsidR="004322B3">
        <w:rPr>
          <w:rFonts w:ascii="Arial" w:hAnsi="Arial" w:cs="Arial"/>
          <w:sz w:val="20"/>
          <w:szCs w:val="20"/>
        </w:rPr>
        <w:t xml:space="preserve">per la conseguente </w:t>
      </w:r>
      <w:r w:rsidR="00F5518D">
        <w:rPr>
          <w:rFonts w:ascii="Arial" w:hAnsi="Arial" w:cs="Arial"/>
          <w:sz w:val="20"/>
          <w:szCs w:val="20"/>
        </w:rPr>
        <w:t>erogazione dell</w:t>
      </w:r>
      <w:r w:rsidR="004322B3">
        <w:rPr>
          <w:rFonts w:ascii="Arial" w:hAnsi="Arial" w:cs="Arial"/>
          <w:sz w:val="20"/>
          <w:szCs w:val="20"/>
        </w:rPr>
        <w:t>e</w:t>
      </w:r>
      <w:r w:rsidR="00F5518D">
        <w:rPr>
          <w:rFonts w:ascii="Arial" w:hAnsi="Arial" w:cs="Arial"/>
          <w:sz w:val="20"/>
          <w:szCs w:val="20"/>
        </w:rPr>
        <w:t xml:space="preserve"> </w:t>
      </w:r>
      <w:r w:rsidR="004322B3">
        <w:rPr>
          <w:rFonts w:ascii="Arial" w:hAnsi="Arial" w:cs="Arial"/>
          <w:sz w:val="20"/>
          <w:szCs w:val="20"/>
        </w:rPr>
        <w:t xml:space="preserve">correlate </w:t>
      </w:r>
      <w:r w:rsidR="00F5518D">
        <w:rPr>
          <w:rFonts w:ascii="Arial" w:hAnsi="Arial" w:cs="Arial"/>
          <w:sz w:val="20"/>
          <w:szCs w:val="20"/>
        </w:rPr>
        <w:t>quot</w:t>
      </w:r>
      <w:r w:rsidR="004322B3">
        <w:rPr>
          <w:rFonts w:ascii="Arial" w:hAnsi="Arial" w:cs="Arial"/>
          <w:sz w:val="20"/>
          <w:szCs w:val="20"/>
        </w:rPr>
        <w:t>e</w:t>
      </w:r>
      <w:r w:rsidR="00F5518D">
        <w:rPr>
          <w:rFonts w:ascii="Arial" w:hAnsi="Arial" w:cs="Arial"/>
          <w:sz w:val="20"/>
          <w:szCs w:val="20"/>
        </w:rPr>
        <w:t xml:space="preserve"> di produttività.</w:t>
      </w:r>
      <w:r w:rsidR="007872F8">
        <w:rPr>
          <w:rFonts w:ascii="Arial" w:hAnsi="Arial" w:cs="Arial"/>
          <w:sz w:val="20"/>
          <w:szCs w:val="20"/>
        </w:rPr>
        <w:t xml:space="preserve"> Ai fini d</w:t>
      </w:r>
      <w:r w:rsidR="00993AE7">
        <w:rPr>
          <w:rFonts w:ascii="Arial" w:hAnsi="Arial" w:cs="Arial"/>
          <w:sz w:val="20"/>
          <w:szCs w:val="20"/>
        </w:rPr>
        <w:t xml:space="preserve">i tale </w:t>
      </w:r>
      <w:r w:rsidR="007872F8">
        <w:rPr>
          <w:rFonts w:ascii="Arial" w:hAnsi="Arial" w:cs="Arial"/>
          <w:sz w:val="20"/>
          <w:szCs w:val="20"/>
        </w:rPr>
        <w:t>monitoraggio, all’inizio dell’anno</w:t>
      </w:r>
      <w:r w:rsidR="004322B3">
        <w:rPr>
          <w:rFonts w:ascii="Arial" w:hAnsi="Arial" w:cs="Arial"/>
          <w:sz w:val="20"/>
          <w:szCs w:val="20"/>
        </w:rPr>
        <w:t xml:space="preserve"> e</w:t>
      </w:r>
      <w:r w:rsidR="007872F8">
        <w:rPr>
          <w:rFonts w:ascii="Arial" w:hAnsi="Arial" w:cs="Arial"/>
          <w:sz w:val="20"/>
          <w:szCs w:val="20"/>
        </w:rPr>
        <w:t xml:space="preserve"> </w:t>
      </w:r>
      <w:r w:rsidR="004322B3">
        <w:rPr>
          <w:rFonts w:ascii="Arial" w:hAnsi="Arial" w:cs="Arial"/>
          <w:sz w:val="20"/>
          <w:szCs w:val="20"/>
        </w:rPr>
        <w:t xml:space="preserve">in coerenza con la pianificazione – anche </w:t>
      </w:r>
      <w:r w:rsidR="004322B3" w:rsidRPr="004322B3">
        <w:rPr>
          <w:rFonts w:ascii="Arial" w:hAnsi="Arial" w:cs="Arial"/>
          <w:i/>
          <w:sz w:val="20"/>
          <w:szCs w:val="20"/>
        </w:rPr>
        <w:t>in itinere</w:t>
      </w:r>
      <w:r w:rsidR="004322B3">
        <w:rPr>
          <w:rFonts w:ascii="Arial" w:hAnsi="Arial" w:cs="Arial"/>
          <w:sz w:val="20"/>
          <w:szCs w:val="20"/>
        </w:rPr>
        <w:t xml:space="preserve"> – delle attività, </w:t>
      </w:r>
      <w:r w:rsidR="007872F8">
        <w:rPr>
          <w:rFonts w:ascii="Arial" w:hAnsi="Arial" w:cs="Arial"/>
          <w:sz w:val="20"/>
          <w:szCs w:val="20"/>
        </w:rPr>
        <w:t xml:space="preserve">il Direttore della Struttura </w:t>
      </w:r>
      <w:r w:rsidR="004322B3">
        <w:rPr>
          <w:rFonts w:ascii="Arial" w:hAnsi="Arial" w:cs="Arial"/>
          <w:sz w:val="20"/>
          <w:szCs w:val="20"/>
        </w:rPr>
        <w:t xml:space="preserve">predispone idonei atti recanti le indicazioni operative </w:t>
      </w:r>
      <w:r w:rsidR="00087CDA">
        <w:rPr>
          <w:rFonts w:ascii="Arial" w:hAnsi="Arial" w:cs="Arial"/>
          <w:sz w:val="20"/>
          <w:szCs w:val="20"/>
        </w:rPr>
        <w:t xml:space="preserve">gestionali </w:t>
      </w:r>
      <w:r w:rsidR="004322B3">
        <w:rPr>
          <w:rFonts w:ascii="Arial" w:hAnsi="Arial" w:cs="Arial"/>
          <w:sz w:val="20"/>
          <w:szCs w:val="20"/>
        </w:rPr>
        <w:t xml:space="preserve">cui il personale degli uffici si deve attenere. Gli esiti del monitoraggio </w:t>
      </w:r>
      <w:r w:rsidR="00993AE7">
        <w:rPr>
          <w:rFonts w:ascii="Arial" w:hAnsi="Arial" w:cs="Arial"/>
          <w:sz w:val="20"/>
          <w:szCs w:val="20"/>
        </w:rPr>
        <w:t xml:space="preserve">delle prestazioni rese </w:t>
      </w:r>
      <w:r w:rsidR="004322B3">
        <w:rPr>
          <w:rFonts w:ascii="Arial" w:hAnsi="Arial" w:cs="Arial"/>
          <w:sz w:val="20"/>
          <w:szCs w:val="20"/>
        </w:rPr>
        <w:t>costituiscono riferimento per il conseguente riconoscimento retributivo</w:t>
      </w:r>
      <w:r w:rsidR="00FF299D">
        <w:rPr>
          <w:rFonts w:ascii="Arial" w:hAnsi="Arial" w:cs="Arial"/>
          <w:sz w:val="20"/>
          <w:szCs w:val="20"/>
        </w:rPr>
        <w:t>.</w:t>
      </w:r>
    </w:p>
    <w:p w:rsidR="008A4F3A" w:rsidRDefault="00F5518D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generale e a mero titolo </w:t>
      </w:r>
      <w:r w:rsidR="008A4F3A">
        <w:rPr>
          <w:rFonts w:ascii="Arial" w:hAnsi="Arial" w:cs="Arial"/>
          <w:sz w:val="20"/>
          <w:szCs w:val="20"/>
        </w:rPr>
        <w:t>esemplificativo</w:t>
      </w:r>
      <w:r>
        <w:rPr>
          <w:rFonts w:ascii="Arial" w:hAnsi="Arial" w:cs="Arial"/>
          <w:sz w:val="20"/>
          <w:szCs w:val="20"/>
        </w:rPr>
        <w:t>,</w:t>
      </w:r>
      <w:r w:rsidR="008A4F3A">
        <w:rPr>
          <w:rFonts w:ascii="Arial" w:hAnsi="Arial" w:cs="Arial"/>
          <w:sz w:val="20"/>
          <w:szCs w:val="20"/>
        </w:rPr>
        <w:t xml:space="preserve"> per la categoria D assume rilievo ai fini delle prestazione attese la rilevazione della correttezza formale e sostanziale e del rispetto della tempistica degli adempimenti connessi alle attività programmate e pianificate dalla struttura. </w:t>
      </w:r>
    </w:p>
    <w:p w:rsidR="008A4F3A" w:rsidRDefault="008A4F3A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</w:t>
      </w:r>
      <w:r w:rsidR="00F5518D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 xml:space="preserve"> categoria C </w:t>
      </w:r>
      <w:r w:rsidR="00F5518D">
        <w:rPr>
          <w:rFonts w:ascii="Arial" w:hAnsi="Arial" w:cs="Arial"/>
          <w:sz w:val="20"/>
          <w:szCs w:val="20"/>
        </w:rPr>
        <w:t xml:space="preserve"> e B, tenendo conto della necessaria graduazione, </w:t>
      </w:r>
      <w:r>
        <w:rPr>
          <w:rFonts w:ascii="Arial" w:hAnsi="Arial" w:cs="Arial"/>
          <w:sz w:val="20"/>
          <w:szCs w:val="20"/>
        </w:rPr>
        <w:t>sarà</w:t>
      </w:r>
      <w:r w:rsidR="00F5518D">
        <w:rPr>
          <w:rFonts w:ascii="Arial" w:hAnsi="Arial" w:cs="Arial"/>
          <w:sz w:val="20"/>
          <w:szCs w:val="20"/>
        </w:rPr>
        <w:t xml:space="preserve"> data </w:t>
      </w:r>
      <w:r>
        <w:rPr>
          <w:rFonts w:ascii="Arial" w:hAnsi="Arial" w:cs="Arial"/>
          <w:sz w:val="20"/>
          <w:szCs w:val="20"/>
        </w:rPr>
        <w:t>preminen</w:t>
      </w:r>
      <w:r w:rsidR="00F5518D">
        <w:rPr>
          <w:rFonts w:ascii="Arial" w:hAnsi="Arial" w:cs="Arial"/>
          <w:sz w:val="20"/>
          <w:szCs w:val="20"/>
        </w:rPr>
        <w:t>za al</w:t>
      </w:r>
      <w:r>
        <w:rPr>
          <w:rFonts w:ascii="Arial" w:hAnsi="Arial" w:cs="Arial"/>
          <w:sz w:val="20"/>
          <w:szCs w:val="20"/>
        </w:rPr>
        <w:t xml:space="preserve">la capacità di assicurare la flessibilità </w:t>
      </w:r>
      <w:r w:rsidR="00F5518D">
        <w:rPr>
          <w:rFonts w:ascii="Arial" w:hAnsi="Arial" w:cs="Arial"/>
          <w:sz w:val="20"/>
          <w:szCs w:val="20"/>
        </w:rPr>
        <w:t>organizzativa tesa ad assicurare la continuità dell’erogazione dei servizi e delle attività della struttura.</w:t>
      </w:r>
    </w:p>
    <w:p w:rsidR="006E7142" w:rsidRDefault="004331F7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alle prestazioni rese, l</w:t>
      </w:r>
      <w:r w:rsidR="002971D8">
        <w:rPr>
          <w:rFonts w:ascii="Arial" w:hAnsi="Arial" w:cs="Arial"/>
          <w:sz w:val="20"/>
          <w:szCs w:val="20"/>
        </w:rPr>
        <w:t xml:space="preserve">a presenza in servizio </w:t>
      </w:r>
      <w:r w:rsidR="00F5518D">
        <w:rPr>
          <w:rFonts w:ascii="Arial" w:hAnsi="Arial" w:cs="Arial"/>
          <w:sz w:val="20"/>
          <w:szCs w:val="20"/>
        </w:rPr>
        <w:t xml:space="preserve">costituisce elemento di parametrazione dell’importo connesso alla </w:t>
      </w:r>
      <w:r w:rsidR="002971D8">
        <w:rPr>
          <w:rFonts w:ascii="Arial" w:hAnsi="Arial" w:cs="Arial"/>
          <w:sz w:val="20"/>
          <w:szCs w:val="20"/>
        </w:rPr>
        <w:t xml:space="preserve">quota </w:t>
      </w:r>
      <w:r w:rsidR="00F5518D">
        <w:rPr>
          <w:rFonts w:ascii="Arial" w:hAnsi="Arial" w:cs="Arial"/>
          <w:sz w:val="20"/>
          <w:szCs w:val="20"/>
        </w:rPr>
        <w:t xml:space="preserve">A </w:t>
      </w:r>
      <w:r w:rsidR="002971D8">
        <w:rPr>
          <w:rFonts w:ascii="Arial" w:hAnsi="Arial" w:cs="Arial"/>
          <w:sz w:val="20"/>
          <w:szCs w:val="20"/>
        </w:rPr>
        <w:t>d</w:t>
      </w:r>
      <w:r w:rsidR="00F5518D">
        <w:rPr>
          <w:rFonts w:ascii="Arial" w:hAnsi="Arial" w:cs="Arial"/>
          <w:sz w:val="20"/>
          <w:szCs w:val="20"/>
        </w:rPr>
        <w:t>ella</w:t>
      </w:r>
      <w:r w:rsidR="002971D8">
        <w:rPr>
          <w:rFonts w:ascii="Arial" w:hAnsi="Arial" w:cs="Arial"/>
          <w:sz w:val="20"/>
          <w:szCs w:val="20"/>
        </w:rPr>
        <w:t xml:space="preserve"> produttività.  </w:t>
      </w:r>
    </w:p>
    <w:p w:rsidR="004C1A2B" w:rsidRDefault="004C1A2B" w:rsidP="00D87F4B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4C1A2B" w:rsidRPr="005D3679" w:rsidRDefault="004C1A2B" w:rsidP="005D3679">
      <w:pPr>
        <w:pStyle w:val="Paragrafoelenco"/>
        <w:numPr>
          <w:ilvl w:val="0"/>
          <w:numId w:val="18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D3679">
        <w:rPr>
          <w:rFonts w:ascii="Arial" w:hAnsi="Arial" w:cs="Arial"/>
          <w:b/>
          <w:sz w:val="20"/>
          <w:szCs w:val="20"/>
        </w:rPr>
        <w:t>Il contributo del dipendente ai risultati organizzativi rilevati a consuntivo.</w:t>
      </w:r>
    </w:p>
    <w:p w:rsidR="004C1A2B" w:rsidRDefault="004C1A2B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fine anno</w:t>
      </w:r>
      <w:r w:rsidR="00F5518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sulla scorta delle informazioni desunte dalla rendicontazione del ciclo della performance sarà possibile determinare i risultati organizzativi a livello di struttura, di unità organizzativa e di servizio tipico erogato. </w:t>
      </w:r>
      <w:r w:rsidR="004E02F8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 xml:space="preserve">e risultanze della verifica, condotta sia in termini di attuazione di progetti/obiettivi di Ente e </w:t>
      </w:r>
      <w:r w:rsidR="00477E60">
        <w:rPr>
          <w:rFonts w:ascii="Arial" w:hAnsi="Arial" w:cs="Arial"/>
          <w:sz w:val="20"/>
          <w:szCs w:val="20"/>
        </w:rPr>
        <w:t>di S</w:t>
      </w:r>
      <w:r>
        <w:rPr>
          <w:rFonts w:ascii="Arial" w:hAnsi="Arial" w:cs="Arial"/>
          <w:sz w:val="20"/>
          <w:szCs w:val="20"/>
        </w:rPr>
        <w:t>truttura</w:t>
      </w:r>
      <w:r w:rsidR="00477E60">
        <w:rPr>
          <w:rFonts w:ascii="Arial" w:hAnsi="Arial" w:cs="Arial"/>
          <w:sz w:val="20"/>
          <w:szCs w:val="20"/>
        </w:rPr>
        <w:t xml:space="preserve"> sia – mediante la matrice servizi/indicatori – in termini di attività attesa, consentirà di giungere ad un risultato organizzativo del servizio, da prendere quale parametro di riferimento per la valutazione del contributo del dipendente. </w:t>
      </w:r>
      <w:r w:rsidR="0094530F">
        <w:rPr>
          <w:rFonts w:ascii="Arial" w:hAnsi="Arial" w:cs="Arial"/>
          <w:sz w:val="20"/>
          <w:szCs w:val="20"/>
        </w:rPr>
        <w:t xml:space="preserve"> </w:t>
      </w:r>
    </w:p>
    <w:p w:rsidR="00B3601A" w:rsidRDefault="008F568A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8F568A">
        <w:rPr>
          <w:rFonts w:ascii="Arial" w:hAnsi="Arial" w:cs="Arial"/>
          <w:sz w:val="20"/>
          <w:szCs w:val="20"/>
        </w:rPr>
        <w:t>Una volta espletato il processo di valutazione a consuntivo dei risultati delle strutture, ai dipendenti che abbiano assicurato un rilevante contributo al conseguimento dei medesimi risultati, sarà erogata in maniera differenziata e selettiva la quota B di produttività, quantificata, in relazione alle disponibilità finanziarie.</w:t>
      </w:r>
    </w:p>
    <w:p w:rsidR="008C5E03" w:rsidRDefault="00477E60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Anche con riferimento a questa fase valutativa emergono le differenziazioni tra i ruoli, le tipologie di strutture, i profili professionali e le aree di appartenenza. </w:t>
      </w:r>
      <w:r w:rsidR="004A60D1">
        <w:rPr>
          <w:rFonts w:ascii="Arial" w:hAnsi="Arial" w:cs="Arial"/>
          <w:sz w:val="20"/>
          <w:szCs w:val="20"/>
        </w:rPr>
        <w:t xml:space="preserve"> </w:t>
      </w:r>
      <w:r w:rsidR="008C5E03">
        <w:rPr>
          <w:rFonts w:ascii="Arial" w:hAnsi="Arial" w:cs="Arial"/>
          <w:sz w:val="20"/>
          <w:szCs w:val="20"/>
        </w:rPr>
        <w:t xml:space="preserve">Infatti il contributo del singolo e del servizio viene rilevato in relazione all’attività </w:t>
      </w:r>
      <w:r w:rsidR="00570D31">
        <w:rPr>
          <w:rFonts w:ascii="Arial" w:hAnsi="Arial" w:cs="Arial"/>
          <w:sz w:val="20"/>
          <w:szCs w:val="20"/>
        </w:rPr>
        <w:t xml:space="preserve">finalizzata all’attuazione dei </w:t>
      </w:r>
      <w:r w:rsidR="008C5E03">
        <w:rPr>
          <w:rFonts w:ascii="Arial" w:hAnsi="Arial" w:cs="Arial"/>
          <w:sz w:val="20"/>
          <w:szCs w:val="20"/>
        </w:rPr>
        <w:t xml:space="preserve">progetti/obiettivi di ente e di struttura formalizzati nei documenti di programmazione economico finanziaria e di pianificazione esecutiva dell’Amministrazione. </w:t>
      </w:r>
    </w:p>
    <w:p w:rsidR="00477E60" w:rsidRDefault="008C5E03" w:rsidP="00D87F4B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Analogamente gli indicatori scelti quale parametri di valutazione per i risultati conseguiti da specifici settori o ambiti dell’Amministrazione saranno strettamente correlati agli indicatori che il PEG assegna alla competenza della struttura di appartenenza.  </w:t>
      </w:r>
    </w:p>
    <w:p w:rsidR="00555FC3" w:rsidRPr="00555FC3" w:rsidRDefault="00D417A7" w:rsidP="008F568A">
      <w:pPr>
        <w:spacing w:before="240" w:after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Fig. 2</w:t>
      </w:r>
      <w:r w:rsidR="00555FC3" w:rsidRPr="00555FC3">
        <w:rPr>
          <w:rFonts w:ascii="Arial" w:hAnsi="Arial" w:cs="Arial"/>
          <w:b/>
          <w:sz w:val="16"/>
          <w:szCs w:val="16"/>
        </w:rPr>
        <w:t>) La valutazione del personale nell’ambito del ciclo integrato di programmazione, controllo e valutazione.</w:t>
      </w:r>
    </w:p>
    <w:p w:rsidR="002025BC" w:rsidRDefault="00771C62" w:rsidP="008C5E03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69A2E9C0" wp14:editId="29EE52D4">
            <wp:extent cx="5411336" cy="2388358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1180" cy="238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5BC" w:rsidRDefault="00555FC3" w:rsidP="008F568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Dalla figura emerge la coerenza degli ambiti di monitoraggi</w:t>
      </w:r>
      <w:r w:rsidR="00F240E5">
        <w:rPr>
          <w:rFonts w:ascii="Arial" w:hAnsi="Arial" w:cs="Arial"/>
          <w:sz w:val="20"/>
          <w:szCs w:val="20"/>
        </w:rPr>
        <w:t xml:space="preserve">o dell’attività del dipendente con </w:t>
      </w:r>
      <w:r>
        <w:rPr>
          <w:rFonts w:ascii="Arial" w:hAnsi="Arial" w:cs="Arial"/>
          <w:sz w:val="20"/>
          <w:szCs w:val="20"/>
        </w:rPr>
        <w:t>le aree di responsabilità/risultato dirigenziali formalizzate mediante la pianificazione esecutiva.</w:t>
      </w:r>
    </w:p>
    <w:p w:rsidR="00F240E5" w:rsidRDefault="00F240E5" w:rsidP="008F568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 tale collegamento discende il legame tra i risultati della struttura di appartenenza (nel caso dei dipendenti si fa riferimento al servizio) e la valutazione a consuntivo del contributo fornito dal dipendente. </w:t>
      </w:r>
    </w:p>
    <w:p w:rsidR="00F240E5" w:rsidRDefault="00F240E5" w:rsidP="008F568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contributo individuale del dipendente non è tuttavia derivato dalla performance dirigenziale mediante meri algoritmi matematici, bensì è il frutto di una valutazione più ampia che, partendo dai risultati del servizio,  tiene conto, al di là del mero dato numerico, della qualità dell’apporto fornito. </w:t>
      </w:r>
    </w:p>
    <w:p w:rsidR="00F240E5" w:rsidRDefault="00F240E5" w:rsidP="008F568A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 quanto premesso consegue la possibilità che si abbiano Valutazioni del singolo dipendenti più elevate rispetto a quanto i risultati organizzativi e la performance del dirigente di riferimento possa far desumere. Sarà ovviamente possibile il contrario: ossia che il contributo di un dipendente possa risultare non in linea con i positivi risultati fatti registrare dalla struttura organizzativa di riferimento.</w:t>
      </w:r>
    </w:p>
    <w:p w:rsidR="003751E4" w:rsidRPr="00555FC3" w:rsidRDefault="003751E4" w:rsidP="003751E4">
      <w:pPr>
        <w:spacing w:before="24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Fig. 3</w:t>
      </w:r>
      <w:r w:rsidRPr="00555FC3">
        <w:rPr>
          <w:rFonts w:ascii="Arial" w:hAnsi="Arial" w:cs="Arial"/>
          <w:b/>
          <w:sz w:val="16"/>
          <w:szCs w:val="16"/>
        </w:rPr>
        <w:t xml:space="preserve">) </w:t>
      </w:r>
      <w:r>
        <w:rPr>
          <w:rFonts w:ascii="Arial" w:hAnsi="Arial" w:cs="Arial"/>
          <w:b/>
          <w:sz w:val="16"/>
          <w:szCs w:val="16"/>
        </w:rPr>
        <w:t>L</w:t>
      </w:r>
      <w:r w:rsidRPr="00555FC3">
        <w:rPr>
          <w:rFonts w:ascii="Arial" w:hAnsi="Arial" w:cs="Arial"/>
          <w:b/>
          <w:sz w:val="16"/>
          <w:szCs w:val="16"/>
        </w:rPr>
        <w:t xml:space="preserve">a valutazione </w:t>
      </w:r>
      <w:r>
        <w:rPr>
          <w:rFonts w:ascii="Arial" w:hAnsi="Arial" w:cs="Arial"/>
          <w:b/>
          <w:sz w:val="16"/>
          <w:szCs w:val="16"/>
        </w:rPr>
        <w:t xml:space="preserve">a consuntivo </w:t>
      </w:r>
      <w:r w:rsidRPr="00555FC3">
        <w:rPr>
          <w:rFonts w:ascii="Arial" w:hAnsi="Arial" w:cs="Arial"/>
          <w:b/>
          <w:sz w:val="16"/>
          <w:szCs w:val="16"/>
        </w:rPr>
        <w:t xml:space="preserve">del personale </w:t>
      </w:r>
      <w:r>
        <w:rPr>
          <w:rFonts w:ascii="Arial" w:hAnsi="Arial" w:cs="Arial"/>
          <w:b/>
          <w:sz w:val="16"/>
          <w:szCs w:val="16"/>
        </w:rPr>
        <w:t>nell’ambito del</w:t>
      </w:r>
      <w:r w:rsidRPr="003751E4">
        <w:rPr>
          <w:rFonts w:ascii="Arial" w:hAnsi="Arial" w:cs="Arial"/>
          <w:b/>
          <w:sz w:val="16"/>
          <w:szCs w:val="16"/>
        </w:rPr>
        <w:t xml:space="preserve"> ciclo integrato di programmazione, piani</w:t>
      </w:r>
      <w:r>
        <w:rPr>
          <w:rFonts w:ascii="Arial" w:hAnsi="Arial" w:cs="Arial"/>
          <w:b/>
          <w:sz w:val="16"/>
          <w:szCs w:val="16"/>
        </w:rPr>
        <w:t>ficazione e controllo.</w:t>
      </w:r>
    </w:p>
    <w:p w:rsidR="003E2E4A" w:rsidRPr="004A60D1" w:rsidRDefault="003751E4" w:rsidP="003E2E4A">
      <w:p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it-IT"/>
        </w:rPr>
        <w:drawing>
          <wp:inline distT="0" distB="0" distL="0" distR="0" wp14:anchorId="100A075E" wp14:editId="758DB844">
            <wp:extent cx="5431806" cy="2292824"/>
            <wp:effectExtent l="0" t="0" r="0" b="0"/>
            <wp:docPr id="36" name="Im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37277" cy="2295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2E4A" w:rsidRPr="004A60D1" w:rsidSect="008F568A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58E" w:rsidRDefault="0045558E" w:rsidP="00B12E31">
      <w:pPr>
        <w:spacing w:after="0" w:line="240" w:lineRule="auto"/>
      </w:pPr>
      <w:r>
        <w:separator/>
      </w:r>
    </w:p>
  </w:endnote>
  <w:endnote w:type="continuationSeparator" w:id="0">
    <w:p w:rsidR="0045558E" w:rsidRDefault="0045558E" w:rsidP="00B1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58E" w:rsidRDefault="0045558E" w:rsidP="00B12E31">
      <w:pPr>
        <w:spacing w:after="0" w:line="240" w:lineRule="auto"/>
      </w:pPr>
      <w:r>
        <w:separator/>
      </w:r>
    </w:p>
  </w:footnote>
  <w:footnote w:type="continuationSeparator" w:id="0">
    <w:p w:rsidR="0045558E" w:rsidRDefault="0045558E" w:rsidP="00B12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76471"/>
    <w:multiLevelType w:val="hybridMultilevel"/>
    <w:tmpl w:val="1CAC33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1574C"/>
    <w:multiLevelType w:val="hybridMultilevel"/>
    <w:tmpl w:val="002E3984"/>
    <w:lvl w:ilvl="0" w:tplc="44303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B0AA9"/>
    <w:multiLevelType w:val="hybridMultilevel"/>
    <w:tmpl w:val="51408DE6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741766F"/>
    <w:multiLevelType w:val="hybridMultilevel"/>
    <w:tmpl w:val="8BE8BCE8"/>
    <w:lvl w:ilvl="0" w:tplc="9B0A60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C69C2"/>
    <w:multiLevelType w:val="hybridMultilevel"/>
    <w:tmpl w:val="C2AA9E7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C5B6F"/>
    <w:multiLevelType w:val="hybridMultilevel"/>
    <w:tmpl w:val="B6C2BF5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F3E8D"/>
    <w:multiLevelType w:val="hybridMultilevel"/>
    <w:tmpl w:val="AD42415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F519FE"/>
    <w:multiLevelType w:val="hybridMultilevel"/>
    <w:tmpl w:val="D11814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BB3C30"/>
    <w:multiLevelType w:val="hybridMultilevel"/>
    <w:tmpl w:val="800CE0B6"/>
    <w:lvl w:ilvl="0" w:tplc="B5EA7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5D03BE"/>
    <w:multiLevelType w:val="hybridMultilevel"/>
    <w:tmpl w:val="8484638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646E5"/>
    <w:multiLevelType w:val="hybridMultilevel"/>
    <w:tmpl w:val="354E5194"/>
    <w:lvl w:ilvl="0" w:tplc="FAD0B92C">
      <w:start w:val="1"/>
      <w:numFmt w:val="upp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394C41"/>
    <w:multiLevelType w:val="hybridMultilevel"/>
    <w:tmpl w:val="4FA621BA"/>
    <w:lvl w:ilvl="0" w:tplc="44303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D6D6C"/>
    <w:multiLevelType w:val="hybridMultilevel"/>
    <w:tmpl w:val="2B9440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9E6E71"/>
    <w:multiLevelType w:val="hybridMultilevel"/>
    <w:tmpl w:val="FEA479C6"/>
    <w:lvl w:ilvl="0" w:tplc="3558DEB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7C46C5"/>
    <w:multiLevelType w:val="hybridMultilevel"/>
    <w:tmpl w:val="8158724E"/>
    <w:lvl w:ilvl="0" w:tplc="44303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538E6"/>
    <w:multiLevelType w:val="hybridMultilevel"/>
    <w:tmpl w:val="75EA01F0"/>
    <w:lvl w:ilvl="0" w:tplc="F3CA2A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>
    <w:nsid w:val="6E662080"/>
    <w:multiLevelType w:val="hybridMultilevel"/>
    <w:tmpl w:val="1C3A3A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0128C"/>
    <w:multiLevelType w:val="hybridMultilevel"/>
    <w:tmpl w:val="42DEC8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11"/>
  </w:num>
  <w:num w:numId="8">
    <w:abstractNumId w:val="6"/>
  </w:num>
  <w:num w:numId="9">
    <w:abstractNumId w:val="8"/>
  </w:num>
  <w:num w:numId="10">
    <w:abstractNumId w:val="15"/>
  </w:num>
  <w:num w:numId="11">
    <w:abstractNumId w:val="10"/>
  </w:num>
  <w:num w:numId="12">
    <w:abstractNumId w:val="16"/>
  </w:num>
  <w:num w:numId="13">
    <w:abstractNumId w:val="5"/>
  </w:num>
  <w:num w:numId="14">
    <w:abstractNumId w:val="0"/>
  </w:num>
  <w:num w:numId="15">
    <w:abstractNumId w:val="7"/>
  </w:num>
  <w:num w:numId="16">
    <w:abstractNumId w:val="14"/>
  </w:num>
  <w:num w:numId="17">
    <w:abstractNumId w:val="1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B5"/>
    <w:rsid w:val="000127A4"/>
    <w:rsid w:val="00064DCB"/>
    <w:rsid w:val="00067A56"/>
    <w:rsid w:val="00067C3F"/>
    <w:rsid w:val="00087CDA"/>
    <w:rsid w:val="000C3D4E"/>
    <w:rsid w:val="000F6714"/>
    <w:rsid w:val="0016260C"/>
    <w:rsid w:val="001A7DA8"/>
    <w:rsid w:val="002001E3"/>
    <w:rsid w:val="002025BC"/>
    <w:rsid w:val="002971D8"/>
    <w:rsid w:val="00297BDC"/>
    <w:rsid w:val="002F39DB"/>
    <w:rsid w:val="003751E4"/>
    <w:rsid w:val="003E2E4A"/>
    <w:rsid w:val="003E4AA5"/>
    <w:rsid w:val="003E7BDC"/>
    <w:rsid w:val="003F0137"/>
    <w:rsid w:val="004071CF"/>
    <w:rsid w:val="004132BB"/>
    <w:rsid w:val="004322B3"/>
    <w:rsid w:val="004331F7"/>
    <w:rsid w:val="0045558E"/>
    <w:rsid w:val="00477E60"/>
    <w:rsid w:val="00482B4B"/>
    <w:rsid w:val="004A60D1"/>
    <w:rsid w:val="004C1A2B"/>
    <w:rsid w:val="004C65E6"/>
    <w:rsid w:val="004E02F8"/>
    <w:rsid w:val="004E6D9E"/>
    <w:rsid w:val="00505133"/>
    <w:rsid w:val="00555C94"/>
    <w:rsid w:val="00555FC3"/>
    <w:rsid w:val="00570D31"/>
    <w:rsid w:val="005B51A2"/>
    <w:rsid w:val="005D3679"/>
    <w:rsid w:val="005F6C95"/>
    <w:rsid w:val="006A32FF"/>
    <w:rsid w:val="006B1AB7"/>
    <w:rsid w:val="006E7142"/>
    <w:rsid w:val="00771C62"/>
    <w:rsid w:val="00775BB8"/>
    <w:rsid w:val="007872F8"/>
    <w:rsid w:val="007B03B5"/>
    <w:rsid w:val="007C6D41"/>
    <w:rsid w:val="008239B0"/>
    <w:rsid w:val="00832B99"/>
    <w:rsid w:val="00836C2A"/>
    <w:rsid w:val="00885EE4"/>
    <w:rsid w:val="008A4F3A"/>
    <w:rsid w:val="008C5E03"/>
    <w:rsid w:val="008C7222"/>
    <w:rsid w:val="008E0B75"/>
    <w:rsid w:val="008F568A"/>
    <w:rsid w:val="0094530F"/>
    <w:rsid w:val="009542C2"/>
    <w:rsid w:val="00961D0D"/>
    <w:rsid w:val="00993AE7"/>
    <w:rsid w:val="00994EED"/>
    <w:rsid w:val="009C3FFB"/>
    <w:rsid w:val="00A438F0"/>
    <w:rsid w:val="00AA38BE"/>
    <w:rsid w:val="00AB01C8"/>
    <w:rsid w:val="00AB5FAA"/>
    <w:rsid w:val="00AE4ADF"/>
    <w:rsid w:val="00B00622"/>
    <w:rsid w:val="00B12E31"/>
    <w:rsid w:val="00B3601A"/>
    <w:rsid w:val="00B50A85"/>
    <w:rsid w:val="00B72A85"/>
    <w:rsid w:val="00B73465"/>
    <w:rsid w:val="00BB0E2C"/>
    <w:rsid w:val="00BB5BA7"/>
    <w:rsid w:val="00BD2283"/>
    <w:rsid w:val="00BD3F73"/>
    <w:rsid w:val="00BD7CB5"/>
    <w:rsid w:val="00BE1B8D"/>
    <w:rsid w:val="00BE4C4B"/>
    <w:rsid w:val="00BF7F24"/>
    <w:rsid w:val="00C22843"/>
    <w:rsid w:val="00C41F42"/>
    <w:rsid w:val="00C62634"/>
    <w:rsid w:val="00C76547"/>
    <w:rsid w:val="00C85E26"/>
    <w:rsid w:val="00C96E80"/>
    <w:rsid w:val="00CB7A04"/>
    <w:rsid w:val="00CC614F"/>
    <w:rsid w:val="00CE42B1"/>
    <w:rsid w:val="00CF3C46"/>
    <w:rsid w:val="00D2483C"/>
    <w:rsid w:val="00D417A7"/>
    <w:rsid w:val="00D569BD"/>
    <w:rsid w:val="00D87F4B"/>
    <w:rsid w:val="00DC0B73"/>
    <w:rsid w:val="00E32CFA"/>
    <w:rsid w:val="00E64757"/>
    <w:rsid w:val="00E7693D"/>
    <w:rsid w:val="00E80F35"/>
    <w:rsid w:val="00EA165A"/>
    <w:rsid w:val="00F240E5"/>
    <w:rsid w:val="00F30F5B"/>
    <w:rsid w:val="00F5518D"/>
    <w:rsid w:val="00F8111E"/>
    <w:rsid w:val="00F85F59"/>
    <w:rsid w:val="00FF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AB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025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5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5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2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E31"/>
  </w:style>
  <w:style w:type="paragraph" w:styleId="Pidipagina">
    <w:name w:val="footer"/>
    <w:basedOn w:val="Normale"/>
    <w:link w:val="PidipaginaCarattere"/>
    <w:uiPriority w:val="99"/>
    <w:unhideWhenUsed/>
    <w:rsid w:val="00B12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E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B1AB7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025B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25B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55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12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2E31"/>
  </w:style>
  <w:style w:type="paragraph" w:styleId="Pidipagina">
    <w:name w:val="footer"/>
    <w:basedOn w:val="Normale"/>
    <w:link w:val="PidipaginaCarattere"/>
    <w:uiPriority w:val="99"/>
    <w:unhideWhenUsed/>
    <w:rsid w:val="00B12E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1C814-9395-40F7-9C83-F895500D8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1290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8629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2014-06-24T13:58:00Z</cp:lastPrinted>
  <dcterms:created xsi:type="dcterms:W3CDTF">2014-06-24T16:10:00Z</dcterms:created>
  <dcterms:modified xsi:type="dcterms:W3CDTF">2014-06-24T16:10:00Z</dcterms:modified>
</cp:coreProperties>
</file>